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46BBA" w14:textId="77777777" w:rsidR="00050D18" w:rsidRPr="00141488" w:rsidRDefault="00A54BE5">
      <w:r w:rsidRPr="00141488">
        <w:rPr>
          <w:b/>
          <w:sz w:val="36"/>
        </w:rPr>
        <w:t>INDEX ÉGALITÉ FEMMES / HOMMES – RÉSULTATS 2025</w:t>
      </w:r>
    </w:p>
    <w:p w14:paraId="1CDC0235" w14:textId="1003B795" w:rsidR="004F38D6" w:rsidRPr="00141488" w:rsidRDefault="00A54BE5" w:rsidP="00141488">
      <w:pPr>
        <w:jc w:val="both"/>
      </w:pPr>
      <w:r w:rsidRPr="00141488">
        <w:t>Comme chaque année, nos sociétés évaluent et publient leur Index Égalité professionnelle entre les femmes et les hommes. Cet index, noté sur 100 points, s’appuie sur plusieurs indicateurs (écart de rémunération, augmentations individuelles, promotions, augmentations au retour de congé maternité, représentation dans les 10 plus hautes rémunérations).</w:t>
      </w:r>
    </w:p>
    <w:p w14:paraId="07799D1E" w14:textId="14C65675" w:rsidR="004F38D6" w:rsidRPr="00141488" w:rsidRDefault="004F38D6" w:rsidP="00141488">
      <w:pPr>
        <w:jc w:val="both"/>
      </w:pPr>
      <w:r w:rsidRPr="00141488">
        <w:t xml:space="preserve">Au sein du groupe EMC2, trois sociétés doivent communiquer leur </w:t>
      </w:r>
      <w:r w:rsidR="00141488" w:rsidRPr="00141488">
        <w:t>résultat :</w:t>
      </w:r>
      <w:r w:rsidRPr="00141488">
        <w:t xml:space="preserve"> l’UES EMC2, NATURE ET PLEIN AIR et AGRINOVE.</w:t>
      </w:r>
    </w:p>
    <w:p w14:paraId="59C0FFD8" w14:textId="1BB14394" w:rsidR="004F38D6" w:rsidRPr="00141488" w:rsidRDefault="004F38D6" w:rsidP="00141488">
      <w:pPr>
        <w:jc w:val="both"/>
      </w:pPr>
      <w:r w:rsidRPr="00141488">
        <w:t xml:space="preserve">Les critères et nos résultats sont les </w:t>
      </w:r>
      <w:r w:rsidR="00141488" w:rsidRPr="00141488">
        <w:t>suivants :</w:t>
      </w:r>
    </w:p>
    <w:p w14:paraId="27C3E3C4" w14:textId="77777777" w:rsidR="00050D18" w:rsidRPr="00141488" w:rsidRDefault="00A54BE5" w:rsidP="00141488">
      <w:pPr>
        <w:jc w:val="both"/>
      </w:pPr>
      <w:r w:rsidRPr="00141488">
        <w:rPr>
          <w:b/>
          <w:sz w:val="28"/>
        </w:rPr>
        <w:t>UES EMC2 – Résultat 2025 : 83/100</w:t>
      </w:r>
    </w:p>
    <w:p w14:paraId="21059AB1" w14:textId="67D91F06" w:rsidR="00050D18" w:rsidRPr="00141488" w:rsidRDefault="00A54BE5" w:rsidP="00141488">
      <w:pPr>
        <w:pStyle w:val="Listepuces"/>
        <w:jc w:val="both"/>
      </w:pPr>
      <w:r w:rsidRPr="00141488">
        <w:rPr>
          <w:b/>
          <w:bCs/>
        </w:rPr>
        <w:t xml:space="preserve">Écart de rémunération </w:t>
      </w:r>
      <w:r w:rsidR="003A275F" w:rsidRPr="00141488">
        <w:t xml:space="preserve">(en fonction de la catégorie socioprofessionnelle et de la </w:t>
      </w:r>
      <w:r w:rsidR="003A275F" w:rsidRPr="003A275F">
        <w:t>tranche d’âge, l’écart des moyennes de rémunération entre les hommes et les</w:t>
      </w:r>
      <w:r w:rsidR="003A275F" w:rsidRPr="00141488">
        <w:t xml:space="preserve"> </w:t>
      </w:r>
      <w:r w:rsidR="003A275F" w:rsidRPr="003A275F">
        <w:t>femmes est analysé)</w:t>
      </w:r>
      <w:r w:rsidR="003A275F" w:rsidRPr="00141488">
        <w:rPr>
          <w:b/>
          <w:bCs/>
        </w:rPr>
        <w:t> :</w:t>
      </w:r>
      <w:r w:rsidR="003A275F" w:rsidRPr="00141488">
        <w:t xml:space="preserve"> </w:t>
      </w:r>
      <w:r w:rsidRPr="00141488">
        <w:t>33/40 points</w:t>
      </w:r>
    </w:p>
    <w:p w14:paraId="6F0C2C86" w14:textId="725AFE69" w:rsidR="00050D18" w:rsidRPr="00141488" w:rsidRDefault="00A54BE5" w:rsidP="00141488">
      <w:pPr>
        <w:pStyle w:val="Listepuces"/>
        <w:jc w:val="both"/>
        <w:rPr>
          <w:b/>
          <w:bCs/>
        </w:rPr>
      </w:pPr>
      <w:r w:rsidRPr="00141488">
        <w:rPr>
          <w:b/>
          <w:bCs/>
        </w:rPr>
        <w:t xml:space="preserve">Écart d’augmentations individuelles </w:t>
      </w:r>
      <w:r w:rsidR="003A275F" w:rsidRPr="00141488">
        <w:t>(permet de comparer le niveau d’augmentation des femmes et des hommes)</w:t>
      </w:r>
      <w:r w:rsidR="00141488">
        <w:t xml:space="preserve"> </w:t>
      </w:r>
      <w:r w:rsidR="003A275F" w:rsidRPr="00141488">
        <w:rPr>
          <w:b/>
          <w:bCs/>
        </w:rPr>
        <w:t xml:space="preserve">: </w:t>
      </w:r>
      <w:r w:rsidRPr="00141488">
        <w:t>20/20 points</w:t>
      </w:r>
    </w:p>
    <w:p w14:paraId="411501AC" w14:textId="7B65879A" w:rsidR="00050D18" w:rsidRPr="00141488" w:rsidRDefault="00A54BE5" w:rsidP="00141488">
      <w:pPr>
        <w:pStyle w:val="Listepuces"/>
        <w:jc w:val="both"/>
      </w:pPr>
      <w:r w:rsidRPr="00141488">
        <w:t xml:space="preserve">Écart de promotions </w:t>
      </w:r>
      <w:r w:rsidR="003A275F" w:rsidRPr="00141488">
        <w:t>(prend en compte la proportion de salariés promus par CSP)</w:t>
      </w:r>
      <w:r w:rsidRPr="00141488">
        <w:t>: 15/15 points</w:t>
      </w:r>
    </w:p>
    <w:p w14:paraId="5DEDFA06" w14:textId="34B6BAD6" w:rsidR="00050D18" w:rsidRPr="00141488" w:rsidRDefault="00A54BE5" w:rsidP="00141488">
      <w:pPr>
        <w:pStyle w:val="Listepuces"/>
        <w:jc w:val="both"/>
      </w:pPr>
      <w:r w:rsidRPr="00141488">
        <w:rPr>
          <w:b/>
          <w:bCs/>
        </w:rPr>
        <w:t>Augmentations au retour de congé maternité</w:t>
      </w:r>
      <w:r w:rsidRPr="00141488">
        <w:t xml:space="preserve"> </w:t>
      </w:r>
      <w:r w:rsidR="003A275F" w:rsidRPr="00141488">
        <w:t xml:space="preserve">(permet </w:t>
      </w:r>
      <w:r w:rsidR="003A275F" w:rsidRPr="003A275F">
        <w:t>de vérifier si les femmes qui ont pris un congés maternité ont bénéficié d’une</w:t>
      </w:r>
      <w:r w:rsidR="003A275F" w:rsidRPr="00141488">
        <w:t xml:space="preserve"> </w:t>
      </w:r>
      <w:r w:rsidR="003A275F" w:rsidRPr="003A275F">
        <w:t>augmentation minimum de la moyenne d</w:t>
      </w:r>
      <w:r w:rsidR="003A275F" w:rsidRPr="00141488">
        <w:t xml:space="preserve">es </w:t>
      </w:r>
      <w:r w:rsidR="003A275F" w:rsidRPr="003A275F">
        <w:t>augmentations qui ont été données en</w:t>
      </w:r>
      <w:r w:rsidR="003A275F" w:rsidRPr="00141488">
        <w:t xml:space="preserve"> augmentation individuelles)</w:t>
      </w:r>
      <w:r w:rsidR="00141488">
        <w:t xml:space="preserve"> </w:t>
      </w:r>
      <w:r w:rsidRPr="00141488">
        <w:rPr>
          <w:b/>
          <w:bCs/>
        </w:rPr>
        <w:t>:</w:t>
      </w:r>
      <w:r w:rsidRPr="00141488">
        <w:t xml:space="preserve"> 15/15 points</w:t>
      </w:r>
    </w:p>
    <w:p w14:paraId="0D9DB085" w14:textId="49E77BBE" w:rsidR="00050D18" w:rsidRPr="00141488" w:rsidRDefault="00A54BE5" w:rsidP="00141488">
      <w:pPr>
        <w:pStyle w:val="Listepuces"/>
        <w:jc w:val="both"/>
      </w:pPr>
      <w:r w:rsidRPr="00141488">
        <w:rPr>
          <w:b/>
          <w:bCs/>
        </w:rPr>
        <w:t>Représentation dans les 10 plus hautes rémunérations</w:t>
      </w:r>
      <w:r w:rsidRPr="00141488">
        <w:t xml:space="preserve"> </w:t>
      </w:r>
      <w:r w:rsidRPr="00141488">
        <w:rPr>
          <w:b/>
          <w:bCs/>
        </w:rPr>
        <w:t>:</w:t>
      </w:r>
      <w:r w:rsidRPr="00141488">
        <w:t xml:space="preserve"> 0/10 point</w:t>
      </w:r>
    </w:p>
    <w:p w14:paraId="758986DA" w14:textId="77777777" w:rsidR="00050D18" w:rsidRPr="00141488" w:rsidRDefault="00A54BE5" w:rsidP="00141488">
      <w:pPr>
        <w:jc w:val="both"/>
      </w:pPr>
      <w:r w:rsidRPr="00141488">
        <w:t>Le score de 83/100 traduit des écarts de rémunération encore présents mais compensés par des taux d’augmentations et de promotions favorables aux femmes, et par la garantie d’augmentation au retour de congé maternité. La sous-représentation des femmes parmi les 10 plus hautes rémunérations demeure un axe de progression.</w:t>
      </w:r>
    </w:p>
    <w:p w14:paraId="38073D4D" w14:textId="4E0EDE9D" w:rsidR="00050D18" w:rsidRPr="00141488" w:rsidRDefault="00A54BE5" w:rsidP="00141488">
      <w:pPr>
        <w:jc w:val="both"/>
      </w:pPr>
      <w:r w:rsidRPr="00141488">
        <w:rPr>
          <w:b/>
          <w:sz w:val="28"/>
        </w:rPr>
        <w:t>NATURE &amp; PLEIN AIR  – Résultat 2025 : 82/100</w:t>
      </w:r>
    </w:p>
    <w:p w14:paraId="08C7803A" w14:textId="2B7F0A06" w:rsidR="00050D18" w:rsidRPr="00141488" w:rsidRDefault="00A54BE5" w:rsidP="00141488">
      <w:pPr>
        <w:pStyle w:val="Listepuces"/>
        <w:jc w:val="both"/>
      </w:pPr>
      <w:r w:rsidRPr="00141488">
        <w:rPr>
          <w:b/>
          <w:bCs/>
        </w:rPr>
        <w:t>Écart de rémunération :</w:t>
      </w:r>
      <w:r w:rsidRPr="00141488">
        <w:t xml:space="preserve"> 35/40 points</w:t>
      </w:r>
    </w:p>
    <w:p w14:paraId="688EEEF5" w14:textId="43B04B9E" w:rsidR="00050D18" w:rsidRPr="00141488" w:rsidRDefault="00A54BE5" w:rsidP="00141488">
      <w:pPr>
        <w:pStyle w:val="Listepuces"/>
        <w:jc w:val="both"/>
      </w:pPr>
      <w:r w:rsidRPr="00141488">
        <w:rPr>
          <w:b/>
          <w:bCs/>
        </w:rPr>
        <w:t>Écart d’augmentations individuelles :</w:t>
      </w:r>
      <w:r w:rsidRPr="00141488">
        <w:t xml:space="preserve"> 35/35 points</w:t>
      </w:r>
    </w:p>
    <w:p w14:paraId="4E722E8E" w14:textId="77777777" w:rsidR="00050D18" w:rsidRPr="00141488" w:rsidRDefault="00A54BE5" w:rsidP="00141488">
      <w:pPr>
        <w:pStyle w:val="Listepuces"/>
        <w:jc w:val="both"/>
      </w:pPr>
      <w:r w:rsidRPr="00141488">
        <w:rPr>
          <w:b/>
          <w:bCs/>
        </w:rPr>
        <w:t>Retour de congé maternité :</w:t>
      </w:r>
      <w:r w:rsidRPr="00141488">
        <w:t xml:space="preserve"> indicateur incalculable sur 2025</w:t>
      </w:r>
    </w:p>
    <w:p w14:paraId="0D70D99A" w14:textId="5D51B228" w:rsidR="00050D18" w:rsidRPr="00141488" w:rsidRDefault="00A54BE5" w:rsidP="00141488">
      <w:pPr>
        <w:pStyle w:val="Listepuces"/>
        <w:jc w:val="both"/>
      </w:pPr>
      <w:r w:rsidRPr="00141488">
        <w:rPr>
          <w:b/>
          <w:bCs/>
        </w:rPr>
        <w:t>Représentation dans les 10 plus hautes rémunérations :</w:t>
      </w:r>
      <w:r w:rsidRPr="00141488">
        <w:t xml:space="preserve"> 0/10 point</w:t>
      </w:r>
    </w:p>
    <w:p w14:paraId="3D589E85" w14:textId="77777777" w:rsidR="00050D18" w:rsidRPr="00141488" w:rsidRDefault="00A54BE5" w:rsidP="00141488">
      <w:pPr>
        <w:jc w:val="both"/>
      </w:pPr>
      <w:r w:rsidRPr="00141488">
        <w:t>Un score solide, supérieur au seuil légal. Les augmentations individuelles soutiennent la progression, tandis que la présence féminine dans les plus hautes rémunérations constitue une marge d’amélioration.</w:t>
      </w:r>
    </w:p>
    <w:p w14:paraId="0BC6294A" w14:textId="77777777" w:rsidR="00050D18" w:rsidRPr="00141488" w:rsidRDefault="00A54BE5" w:rsidP="00141488">
      <w:pPr>
        <w:jc w:val="both"/>
      </w:pPr>
      <w:r w:rsidRPr="00141488">
        <w:rPr>
          <w:b/>
          <w:sz w:val="28"/>
        </w:rPr>
        <w:t>AGRINOVE – Résultat 2025 : index incalculable</w:t>
      </w:r>
    </w:p>
    <w:p w14:paraId="5C2F25D5" w14:textId="6FE2FEEF" w:rsidR="00141488" w:rsidRPr="00141488" w:rsidRDefault="00141488" w:rsidP="00141488">
      <w:pPr>
        <w:jc w:val="both"/>
        <w:rPr>
          <w:b/>
          <w:bCs/>
        </w:rPr>
      </w:pPr>
      <w:r>
        <w:lastRenderedPageBreak/>
        <w:t>AGRINOVE</w:t>
      </w:r>
      <w:r w:rsidRPr="00141488">
        <w:t xml:space="preserve"> se trouve dans l’impossibilité de calculer son index. Cette situation</w:t>
      </w:r>
      <w:r>
        <w:t xml:space="preserve"> </w:t>
      </w:r>
      <w:r w:rsidRPr="00141488">
        <w:t>résulte de critères spécifiques non atteints ou de données insuffisantes pour établir un score</w:t>
      </w:r>
      <w:r>
        <w:t xml:space="preserve"> </w:t>
      </w:r>
      <w:r w:rsidRPr="00141488">
        <w:t>consolidé. L’impossibilité de calculer l’index résulte du nombre de points maximum des indicateurs calculables inférieur à 75. AGRINOVE poursuit néanmoins ses actions de suivi et d’égalité salariale.</w:t>
      </w:r>
    </w:p>
    <w:p w14:paraId="478F92F1" w14:textId="23F3C39C" w:rsidR="00050D18" w:rsidRPr="00141488" w:rsidRDefault="00141488" w:rsidP="00141488">
      <w:pPr>
        <w:spacing w:after="0"/>
        <w:jc w:val="both"/>
        <w:rPr>
          <w:b/>
          <w:bCs/>
        </w:rPr>
      </w:pPr>
      <w:r w:rsidRPr="00141488">
        <w:rPr>
          <w:b/>
          <w:bCs/>
        </w:rPr>
        <w:t>En résumé,</w:t>
      </w:r>
      <w:r w:rsidR="00A54BE5" w:rsidRPr="00141488">
        <w:rPr>
          <w:b/>
          <w:bCs/>
        </w:rPr>
        <w:t xml:space="preserve"> </w:t>
      </w:r>
      <w:r w:rsidR="006873E5" w:rsidRPr="006873E5">
        <w:rPr>
          <w:b/>
          <w:bCs/>
        </w:rPr>
        <w:t>nos différentes structures restent au-dessus des 75 points qui nécessiteraient un plan d’actions spécifiques,</w:t>
      </w:r>
      <w:r w:rsidR="006873E5">
        <w:rPr>
          <w:b/>
          <w:bCs/>
        </w:rPr>
        <w:t xml:space="preserve"> </w:t>
      </w:r>
      <w:r w:rsidR="00A54BE5" w:rsidRPr="00141488">
        <w:rPr>
          <w:b/>
          <w:bCs/>
        </w:rPr>
        <w:t>2025 confirme des progrès tangibles sur les augmentations individuelles et le retour de congé maternité. La priorité demeure la réduction des écarts de rémunération résiduels et l’amélioration de la représentation des femmes dans les postes les plus rémunérés.</w:t>
      </w:r>
    </w:p>
    <w:sectPr w:rsidR="00050D18" w:rsidRPr="0014148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2083135624">
    <w:abstractNumId w:val="8"/>
  </w:num>
  <w:num w:numId="2" w16cid:durableId="2114395673">
    <w:abstractNumId w:val="6"/>
  </w:num>
  <w:num w:numId="3" w16cid:durableId="1717003635">
    <w:abstractNumId w:val="5"/>
  </w:num>
  <w:num w:numId="4" w16cid:durableId="142627187">
    <w:abstractNumId w:val="4"/>
  </w:num>
  <w:num w:numId="5" w16cid:durableId="144703670">
    <w:abstractNumId w:val="7"/>
  </w:num>
  <w:num w:numId="6" w16cid:durableId="257179340">
    <w:abstractNumId w:val="3"/>
  </w:num>
  <w:num w:numId="7" w16cid:durableId="477648057">
    <w:abstractNumId w:val="2"/>
  </w:num>
  <w:num w:numId="8" w16cid:durableId="1036085452">
    <w:abstractNumId w:val="1"/>
  </w:num>
  <w:num w:numId="9" w16cid:durableId="519783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D18"/>
    <w:rsid w:val="0006063C"/>
    <w:rsid w:val="0007334F"/>
    <w:rsid w:val="00141488"/>
    <w:rsid w:val="0015074B"/>
    <w:rsid w:val="0029639D"/>
    <w:rsid w:val="00326F90"/>
    <w:rsid w:val="003A275F"/>
    <w:rsid w:val="004F38D6"/>
    <w:rsid w:val="006873E5"/>
    <w:rsid w:val="006B0EDE"/>
    <w:rsid w:val="00A54BE5"/>
    <w:rsid w:val="00AA1D8D"/>
    <w:rsid w:val="00B47730"/>
    <w:rsid w:val="00CB0664"/>
    <w:rsid w:val="00E0374D"/>
    <w:rsid w:val="00FC595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914981"/>
  <w14:defaultImageDpi w14:val="300"/>
  <w15:docId w15:val="{E948F235-91AD-43BF-8E51-EE06CDA8A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lang w:val="fr-FR"/>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2467</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Claire CLEMENT</cp:lastModifiedBy>
  <cp:revision>2</cp:revision>
  <dcterms:created xsi:type="dcterms:W3CDTF">2026-03-03T10:27:00Z</dcterms:created>
  <dcterms:modified xsi:type="dcterms:W3CDTF">2026-03-03T10:27:00Z</dcterms:modified>
  <cp:category/>
</cp:coreProperties>
</file>